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80" w:rightFromText="180" w:vertAnchor="text" w:horzAnchor="page" w:tblpX="642" w:tblpY="-12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7E474C" w14:paraId="1D5A8035" w14:textId="77777777" w:rsidTr="007E474C">
        <w:trPr>
          <w:trHeight w:val="1980"/>
        </w:trPr>
        <w:tc>
          <w:tcPr>
            <w:tcW w:w="11016" w:type="dxa"/>
          </w:tcPr>
          <w:p w14:paraId="14EEC9F9" w14:textId="77777777" w:rsidR="007E474C" w:rsidRDefault="007E474C" w:rsidP="007E474C"/>
          <w:p w14:paraId="27C72170" w14:textId="77777777" w:rsidR="007E474C" w:rsidRDefault="007E474C" w:rsidP="007E474C">
            <w:pPr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F9034B4" wp14:editId="715E32B8">
                  <wp:extent cx="757025" cy="876300"/>
                  <wp:effectExtent l="19050" t="57150" r="81280" b="571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ading_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36" cy="87967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74C" w14:paraId="174034AD" w14:textId="77777777" w:rsidTr="007E474C">
        <w:trPr>
          <w:trHeight w:val="110"/>
        </w:trPr>
        <w:tc>
          <w:tcPr>
            <w:tcW w:w="11016" w:type="dxa"/>
          </w:tcPr>
          <w:p w14:paraId="33F545C6" w14:textId="7EABC6EB" w:rsidR="007E474C" w:rsidRPr="007E474C" w:rsidRDefault="003D3AFA" w:rsidP="007E474C">
            <w:pPr>
              <w:pStyle w:val="BasicParagraph"/>
              <w:ind w:left="1440" w:hanging="1440"/>
              <w:jc w:val="center"/>
              <w:rPr>
                <w:rFonts w:asciiTheme="minorHAnsi" w:hAnsiTheme="minorHAnsi" w:cs="Penumbra-SerifWeb"/>
                <w:spacing w:val="72"/>
                <w:sz w:val="48"/>
                <w:szCs w:val="48"/>
              </w:rPr>
            </w:pPr>
            <w:r>
              <w:rPr>
                <w:rFonts w:asciiTheme="minorHAnsi" w:hAnsiTheme="minorHAnsi" w:cs="Penumbra-SerifWeb"/>
                <w:spacing w:val="72"/>
                <w:sz w:val="48"/>
                <w:szCs w:val="48"/>
              </w:rPr>
              <w:t>LILIAN JARDIM</w:t>
            </w:r>
          </w:p>
          <w:p w14:paraId="63829292" w14:textId="72B75433" w:rsidR="007E474C" w:rsidRPr="007E474C" w:rsidRDefault="003D3AFA" w:rsidP="007E474C">
            <w:pPr>
              <w:pStyle w:val="BasicParagraph"/>
              <w:jc w:val="center"/>
              <w:rPr>
                <w:rFonts w:asciiTheme="majorHAnsi" w:hAnsiTheme="majorHAnsi" w:cs="Penumbra-SerifWeb"/>
                <w:spacing w:val="50"/>
                <w:sz w:val="22"/>
                <w:szCs w:val="22"/>
              </w:rPr>
            </w:pPr>
            <w:r>
              <w:rPr>
                <w:rFonts w:asciiTheme="majorHAnsi" w:hAnsiTheme="majorHAnsi" w:cs="Penumbra-SerifWeb"/>
                <w:spacing w:val="50"/>
                <w:sz w:val="22"/>
                <w:szCs w:val="22"/>
              </w:rPr>
              <w:t>RELEASE</w:t>
            </w:r>
          </w:p>
          <w:p w14:paraId="233DDC7C" w14:textId="77777777" w:rsidR="007E474C" w:rsidRDefault="007E474C" w:rsidP="007E474C"/>
        </w:tc>
      </w:tr>
    </w:tbl>
    <w:tbl>
      <w:tblPr>
        <w:tblStyle w:val="Tabelacomgrade"/>
        <w:tblpPr w:leftFromText="180" w:rightFromText="180" w:vertAnchor="page" w:tblpY="3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6660"/>
      </w:tblGrid>
      <w:tr w:rsidR="007E474C" w14:paraId="6BA1230E" w14:textId="77777777" w:rsidTr="007E474C">
        <w:trPr>
          <w:trHeight w:val="8269"/>
        </w:trPr>
        <w:tc>
          <w:tcPr>
            <w:tcW w:w="3978" w:type="dxa"/>
          </w:tcPr>
          <w:p w14:paraId="15318A19" w14:textId="77777777" w:rsidR="007E474C" w:rsidRDefault="007E474C" w:rsidP="007E474C">
            <w:r>
              <w:rPr>
                <w:noProof/>
                <w:lang w:val="pt-BR" w:eastAsia="pt-BR"/>
              </w:rPr>
              <w:drawing>
                <wp:inline distT="0" distB="0" distL="0" distR="0" wp14:anchorId="57493FFB" wp14:editId="542010B4">
                  <wp:extent cx="2621241" cy="3938016"/>
                  <wp:effectExtent l="0" t="0" r="825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rd Drive:Users:sanborn:Desktop:inbox:danbrown:assets:db_press_kit:Links:db-image-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889" cy="3940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</w:tcPr>
          <w:p w14:paraId="4F189388" w14:textId="1CDDDBAF" w:rsidR="0074444C" w:rsidRPr="002F5516" w:rsidRDefault="0074444C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2F5516">
              <w:rPr>
                <w:rFonts w:asciiTheme="majorHAnsi" w:hAnsiTheme="majorHAnsi"/>
                <w:color w:val="262626" w:themeColor="text1" w:themeTint="D9"/>
              </w:rPr>
              <w:t>Lilian Carla Benincasa Jardim (nascida em Araraquara-SP, Brasil, em 21 de janeiro, sob o signo de aquário), conhecida como Lilian Jardim, é cantora, compositora, intérprete e sonoplasta, com habilidade para tocar diversos instrumentos, como violão, gaita, pandeiro, instrumentos de percussão, entre outros. Suas composições e interpretações passeiam pel</w:t>
            </w:r>
            <w:r w:rsidR="001F2DD1">
              <w:rPr>
                <w:rFonts w:asciiTheme="majorHAnsi" w:hAnsiTheme="majorHAnsi"/>
                <w:color w:val="262626" w:themeColor="text1" w:themeTint="D9"/>
              </w:rPr>
              <w:t>a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MPB, samba e rock nacional. Com quase vinte anos de carreira, já dividiu palco com Zélia Duncan, Roupa Nova, Daniel, Margareth Menezes, Belchior, Max de Castro, </w:t>
            </w:r>
            <w:proofErr w:type="spellStart"/>
            <w:r w:rsidRPr="002F5516">
              <w:rPr>
                <w:rFonts w:asciiTheme="majorHAnsi" w:hAnsiTheme="majorHAnsi"/>
                <w:color w:val="262626" w:themeColor="text1" w:themeTint="D9"/>
              </w:rPr>
              <w:t>Nasi</w:t>
            </w:r>
            <w:proofErr w:type="spellEnd"/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Emerson Nogueira, entre outros artistas renomados. Também gravou o clipe “Menina Baladeira” com Vanessa Jackson. </w:t>
            </w:r>
          </w:p>
          <w:p w14:paraId="0B376D5B" w14:textId="77777777" w:rsidR="0074444C" w:rsidRPr="002F5516" w:rsidRDefault="0074444C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14:paraId="505B60F4" w14:textId="3ACDB81D" w:rsidR="0074444C" w:rsidRPr="002F5516" w:rsidRDefault="0074444C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Gravou dois álbuns com músicas de própria autoria: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A Palavra Chave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(2005) e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Boca Sonora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(2012)</w:t>
            </w:r>
            <w:r w:rsidR="001F2DD1">
              <w:rPr>
                <w:rFonts w:asciiTheme="majorHAnsi" w:hAnsiTheme="majorHAnsi"/>
                <w:color w:val="262626" w:themeColor="text1" w:themeTint="D9"/>
              </w:rPr>
              <w:t xml:space="preserve"> e vem preparando o terceiro disco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. Gravou também a canção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O Louco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do compositor Ricardo </w:t>
            </w:r>
            <w:proofErr w:type="spellStart"/>
            <w:r w:rsidRPr="002F5516">
              <w:rPr>
                <w:rFonts w:asciiTheme="majorHAnsi" w:hAnsiTheme="majorHAnsi"/>
                <w:color w:val="262626" w:themeColor="text1" w:themeTint="D9"/>
              </w:rPr>
              <w:t>Finazzi</w:t>
            </w:r>
            <w:proofErr w:type="spellEnd"/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no álbum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Nossa Viagem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(2007).</w:t>
            </w:r>
            <w:r w:rsidR="002F551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  <w:r w:rsidR="00397A1F">
              <w:rPr>
                <w:rFonts w:asciiTheme="majorHAnsi" w:hAnsiTheme="majorHAnsi"/>
                <w:color w:val="262626" w:themeColor="text1" w:themeTint="D9"/>
              </w:rPr>
              <w:t xml:space="preserve">Foi premiada no festival </w:t>
            </w:r>
            <w:r w:rsidR="00397A1F" w:rsidRPr="00397A1F">
              <w:rPr>
                <w:rFonts w:asciiTheme="majorHAnsi" w:hAnsiTheme="majorHAnsi"/>
                <w:i/>
                <w:color w:val="262626" w:themeColor="text1" w:themeTint="D9"/>
              </w:rPr>
              <w:t>Viola de Todos os Cantos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realizado em 2008, pela emissora Rede Globo de Televisão, em parceria com </w:t>
            </w:r>
            <w:bookmarkStart w:id="0" w:name="_GoBack"/>
            <w:bookmarkEnd w:id="0"/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a EPTV, com a canção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 xml:space="preserve">Tecendo </w:t>
            </w:r>
            <w:r w:rsidR="001F2DD1" w:rsidRPr="001F2DD1">
              <w:rPr>
                <w:rFonts w:asciiTheme="majorHAnsi" w:hAnsiTheme="majorHAnsi"/>
                <w:i/>
                <w:color w:val="262626" w:themeColor="text1" w:themeTint="D9"/>
              </w:rPr>
              <w:t>P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oesia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composta por Lilian Jardim e sua mãe, Clenira Maria Benincasa. Em 2013,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Boca Sonora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foi indicado ao 24º Prêmio da Música Popular Brasileira. </w:t>
            </w:r>
          </w:p>
          <w:p w14:paraId="3858A4EF" w14:textId="3BBC384C" w:rsidR="002F5516" w:rsidRPr="002F5516" w:rsidRDefault="002F5516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14:paraId="2C5A19A5" w14:textId="2C8C6900" w:rsidR="002F5516" w:rsidRPr="002F5516" w:rsidRDefault="002F5516" w:rsidP="002F5516">
            <w:pPr>
              <w:pStyle w:val="SemEspaamento"/>
              <w:jc w:val="both"/>
              <w:rPr>
                <w:rFonts w:asciiTheme="majorHAnsi" w:hAnsiTheme="majorHAnsi" w:cs="Arial"/>
                <w:color w:val="262626" w:themeColor="text1" w:themeTint="D9"/>
              </w:rPr>
            </w:pPr>
            <w:r w:rsidRPr="002F5516">
              <w:rPr>
                <w:rFonts w:asciiTheme="majorHAnsi" w:hAnsiTheme="majorHAnsi" w:cs="Arial"/>
                <w:color w:val="262626" w:themeColor="text1" w:themeTint="D9"/>
              </w:rPr>
              <w:t xml:space="preserve">Lilian </w:t>
            </w:r>
            <w:r w:rsidR="00C65E72">
              <w:rPr>
                <w:rFonts w:asciiTheme="majorHAnsi" w:hAnsiTheme="majorHAnsi" w:cs="Arial"/>
                <w:color w:val="262626" w:themeColor="text1" w:themeTint="D9"/>
              </w:rPr>
              <w:t>vem se apresentando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 xml:space="preserve"> nos palcos de mais de cinquenta cidades brasileiras, incluindo festivais municipais como os de Araraquara</w:t>
            </w:r>
            <w:r w:rsidR="00C65E72">
              <w:rPr>
                <w:rFonts w:asciiTheme="majorHAnsi" w:hAnsiTheme="majorHAnsi" w:cs="Arial"/>
                <w:color w:val="262626" w:themeColor="text1" w:themeTint="D9"/>
              </w:rPr>
              <w:t xml:space="preserve">, 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>Amparo</w:t>
            </w:r>
            <w:r w:rsidR="00C65E72">
              <w:rPr>
                <w:rFonts w:asciiTheme="majorHAnsi" w:hAnsiTheme="majorHAnsi" w:cs="Arial"/>
                <w:color w:val="262626" w:themeColor="text1" w:themeTint="D9"/>
              </w:rPr>
              <w:t xml:space="preserve"> e Pedra Bela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>. Em São Paulo, esteve em casas renomadas como Centro Cultural W</w:t>
            </w:r>
            <w:r w:rsidR="00C65E72">
              <w:rPr>
                <w:rFonts w:asciiTheme="majorHAnsi" w:hAnsiTheme="majorHAnsi" w:cs="Arial"/>
                <w:color w:val="262626" w:themeColor="text1" w:themeTint="D9"/>
              </w:rPr>
              <w:t>ü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>rth, Bar Brahma</w:t>
            </w:r>
            <w:r w:rsidR="007337CB">
              <w:rPr>
                <w:rFonts w:asciiTheme="majorHAnsi" w:hAnsiTheme="majorHAnsi" w:cs="Arial"/>
                <w:color w:val="262626" w:themeColor="text1" w:themeTint="D9"/>
              </w:rPr>
              <w:t>,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 xml:space="preserve"> Tom Jazz</w:t>
            </w:r>
            <w:r w:rsidR="007337CB">
              <w:rPr>
                <w:rFonts w:asciiTheme="majorHAnsi" w:hAnsiTheme="majorHAnsi" w:cs="Arial"/>
                <w:color w:val="262626" w:themeColor="text1" w:themeTint="D9"/>
              </w:rPr>
              <w:t xml:space="preserve"> e Bourbon Street</w:t>
            </w:r>
            <w:r w:rsidRPr="002F5516">
              <w:rPr>
                <w:rFonts w:asciiTheme="majorHAnsi" w:hAnsiTheme="majorHAnsi" w:cs="Arial"/>
                <w:color w:val="262626" w:themeColor="text1" w:themeTint="D9"/>
              </w:rPr>
              <w:t>, além de tocar em SESCs de todo o estado.</w:t>
            </w:r>
          </w:p>
          <w:p w14:paraId="1796A3B0" w14:textId="77777777" w:rsidR="002F5516" w:rsidRPr="002F5516" w:rsidRDefault="002F5516" w:rsidP="002F5516">
            <w:pPr>
              <w:pStyle w:val="SemEspaamento"/>
              <w:jc w:val="both"/>
              <w:rPr>
                <w:rFonts w:asciiTheme="majorHAnsi" w:hAnsiTheme="majorHAnsi" w:cs="Arial"/>
                <w:color w:val="262626" w:themeColor="text1" w:themeTint="D9"/>
              </w:rPr>
            </w:pPr>
          </w:p>
          <w:p w14:paraId="09125B20" w14:textId="77777777" w:rsidR="002F5516" w:rsidRPr="002F5516" w:rsidRDefault="002F5516" w:rsidP="002F5516">
            <w:pPr>
              <w:pStyle w:val="SemEspaamento"/>
              <w:jc w:val="both"/>
              <w:rPr>
                <w:rFonts w:asciiTheme="majorHAnsi" w:hAnsiTheme="majorHAnsi" w:cs="Arial"/>
                <w:color w:val="262626" w:themeColor="text1" w:themeTint="D9"/>
              </w:rPr>
            </w:pPr>
            <w:r w:rsidRPr="002F5516">
              <w:rPr>
                <w:rFonts w:asciiTheme="majorHAnsi" w:hAnsiTheme="majorHAnsi" w:cs="Arial"/>
                <w:color w:val="262626" w:themeColor="text1" w:themeTint="D9"/>
              </w:rPr>
              <w:t>Lilian também é sonoplasta formada pela SP Escola de Teatro, instituição referência no ensino das artes do palco, premiada em 2017 com 29º Prêmio Shell na categoria Inovação.</w:t>
            </w:r>
          </w:p>
          <w:p w14:paraId="6B4017BF" w14:textId="77777777" w:rsidR="0074444C" w:rsidRPr="002F5516" w:rsidRDefault="0074444C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14:paraId="2D788113" w14:textId="56C75EA3" w:rsidR="0074444C" w:rsidRDefault="0074444C" w:rsidP="001F2DD1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Desde 2015 desenvolve, como </w:t>
            </w:r>
            <w:r w:rsidRPr="002F5516">
              <w:rPr>
                <w:rFonts w:asciiTheme="majorHAnsi" w:hAnsiTheme="majorHAnsi"/>
                <w:i/>
                <w:color w:val="262626" w:themeColor="text1" w:themeTint="D9"/>
              </w:rPr>
              <w:t>busker</w:t>
            </w:r>
            <w:r w:rsidRPr="002F5516">
              <w:rPr>
                <w:rFonts w:asciiTheme="majorHAnsi" w:hAnsiTheme="majorHAnsi"/>
                <w:i/>
                <w:color w:val="262626" w:themeColor="text1" w:themeTint="D9"/>
              </w:rPr>
              <w:t>,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  <w:r w:rsidR="001F2DD1">
              <w:rPr>
                <w:rFonts w:asciiTheme="majorHAnsi" w:hAnsiTheme="majorHAnsi"/>
                <w:color w:val="262626" w:themeColor="text1" w:themeTint="D9"/>
              </w:rPr>
              <w:t xml:space="preserve">o projeto </w:t>
            </w:r>
            <w:r w:rsidRPr="001F2DD1">
              <w:rPr>
                <w:rFonts w:asciiTheme="majorHAnsi" w:hAnsiTheme="majorHAnsi"/>
                <w:i/>
                <w:color w:val="262626" w:themeColor="text1" w:themeTint="D9"/>
              </w:rPr>
              <w:t>Música para Todos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 xml:space="preserve">, proposta de democratização da música popular que visa levar apresentações gratuitas para as ruas de São Paulo, </w:t>
            </w:r>
            <w:r w:rsidR="007337CB" w:rsidRPr="002F5516">
              <w:rPr>
                <w:rFonts w:asciiTheme="majorHAnsi" w:hAnsiTheme="majorHAnsi"/>
                <w:color w:val="262626" w:themeColor="text1" w:themeTint="D9"/>
              </w:rPr>
              <w:t>para um público espontâneo</w:t>
            </w:r>
            <w:r w:rsidR="007337CB" w:rsidRPr="002F5516">
              <w:rPr>
                <w:rFonts w:asciiTheme="majorHAnsi" w:hAnsiTheme="majorHAnsi"/>
                <w:color w:val="262626" w:themeColor="text1" w:themeTint="D9"/>
              </w:rPr>
              <w:t xml:space="preserve"> 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>em palcos improvisados. Em razão desse trabalho, participou do documentário feito pelo Canal</w:t>
            </w:r>
            <w:r w:rsidR="001F2DD1">
              <w:rPr>
                <w:rFonts w:asciiTheme="majorHAnsi" w:hAnsiTheme="majorHAnsi"/>
                <w:color w:val="262626" w:themeColor="text1" w:themeTint="D9"/>
              </w:rPr>
              <w:t xml:space="preserve"> Sony, </w:t>
            </w:r>
            <w:r w:rsidR="001F2DD1" w:rsidRPr="001F2DD1">
              <w:rPr>
                <w:rFonts w:asciiTheme="majorHAnsi" w:hAnsiTheme="majorHAnsi"/>
                <w:i/>
                <w:color w:val="262626" w:themeColor="text1" w:themeTint="D9"/>
              </w:rPr>
              <w:t>Buscando Buskers</w:t>
            </w:r>
            <w:r w:rsidRPr="002F5516">
              <w:rPr>
                <w:rFonts w:asciiTheme="majorHAnsi" w:hAnsiTheme="majorHAnsi"/>
                <w:color w:val="262626" w:themeColor="text1" w:themeTint="D9"/>
              </w:rPr>
              <w:t>, com previsão de estreia no segundo semestre de 2017.</w:t>
            </w:r>
          </w:p>
          <w:p w14:paraId="08834816" w14:textId="2F71340F" w:rsidR="002F5516" w:rsidRDefault="002F5516" w:rsidP="002F5516">
            <w:pPr>
              <w:pStyle w:val="SemEspaamento"/>
              <w:jc w:val="both"/>
              <w:rPr>
                <w:rFonts w:asciiTheme="majorHAnsi" w:hAnsiTheme="majorHAnsi"/>
                <w:color w:val="262626" w:themeColor="text1" w:themeTint="D9"/>
              </w:rPr>
            </w:pPr>
          </w:p>
          <w:p w14:paraId="24E6E28A" w14:textId="0223A0AB" w:rsidR="002F5516" w:rsidRPr="002F5516" w:rsidRDefault="002F5516" w:rsidP="002F5516">
            <w:pPr>
              <w:pStyle w:val="SemEspaamento"/>
              <w:jc w:val="center"/>
              <w:rPr>
                <w:rFonts w:asciiTheme="majorHAnsi" w:hAnsiTheme="majorHAnsi"/>
                <w:b/>
                <w:color w:val="262626" w:themeColor="text1" w:themeTint="D9"/>
                <w:sz w:val="26"/>
                <w:szCs w:val="26"/>
              </w:rPr>
            </w:pPr>
            <w:r w:rsidRPr="002F5516">
              <w:rPr>
                <w:rFonts w:asciiTheme="majorHAnsi" w:hAnsiTheme="majorHAnsi"/>
                <w:b/>
                <w:color w:val="262626" w:themeColor="text1" w:themeTint="D9"/>
                <w:sz w:val="26"/>
                <w:szCs w:val="26"/>
              </w:rPr>
              <w:t>www.lilianjardim.com</w:t>
            </w:r>
          </w:p>
          <w:p w14:paraId="670CA84B" w14:textId="182B7775" w:rsidR="007E474C" w:rsidRDefault="007E474C" w:rsidP="0074444C">
            <w:pPr>
              <w:jc w:val="both"/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E474C" w14:paraId="482B90F3" w14:textId="77777777" w:rsidTr="007E474C">
        <w:tc>
          <w:tcPr>
            <w:tcW w:w="11016" w:type="dxa"/>
          </w:tcPr>
          <w:p w14:paraId="0BC60E9F" w14:textId="77777777" w:rsidR="007E474C" w:rsidRDefault="007E474C" w:rsidP="007E474C"/>
        </w:tc>
      </w:tr>
    </w:tbl>
    <w:p w14:paraId="4A64940B" w14:textId="77777777" w:rsidR="007E474C" w:rsidRDefault="007E474C" w:rsidP="00A76628">
      <w:pPr>
        <w:jc w:val="center"/>
      </w:pPr>
    </w:p>
    <w:sectPr w:rsidR="007E474C" w:rsidSect="00FD648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AAAB8" w14:textId="77777777" w:rsidR="0033482B" w:rsidRDefault="0033482B" w:rsidP="00ED0AC6">
      <w:r>
        <w:separator/>
      </w:r>
    </w:p>
  </w:endnote>
  <w:endnote w:type="continuationSeparator" w:id="0">
    <w:p w14:paraId="16567E13" w14:textId="77777777" w:rsidR="0033482B" w:rsidRDefault="0033482B" w:rsidP="00ED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numbra-SerifWeb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AE53" w14:textId="77777777" w:rsidR="00A76628" w:rsidRDefault="00A76628" w:rsidP="00DB21ED">
    <w:pPr>
      <w:pStyle w:val="Rodap"/>
      <w:jc w:val="center"/>
      <w:rPr>
        <w:rFonts w:asciiTheme="majorHAnsi" w:hAnsiTheme="majorHAnsi"/>
        <w:b/>
        <w:sz w:val="16"/>
        <w:szCs w:val="16"/>
      </w:rPr>
    </w:pPr>
  </w:p>
  <w:p w14:paraId="43E4A641" w14:textId="4EB27429" w:rsidR="00ED0AC6" w:rsidRPr="00A76628" w:rsidRDefault="00ED0AC6" w:rsidP="00DB21ED">
    <w:pPr>
      <w:pStyle w:val="Rodap"/>
      <w:jc w:val="center"/>
      <w:rPr>
        <w:rFonts w:asciiTheme="majorHAnsi" w:hAnsiTheme="majorHAnsi"/>
        <w:b/>
        <w:sz w:val="16"/>
        <w:szCs w:val="16"/>
      </w:rPr>
    </w:pPr>
    <w:r w:rsidRPr="00A76628">
      <w:rPr>
        <w:rFonts w:asciiTheme="majorHAnsi" w:hAnsiTheme="majorHAnsi"/>
        <w:b/>
        <w:sz w:val="16"/>
        <w:szCs w:val="16"/>
      </w:rPr>
      <w:t>JARDIM PRODUÇÕES ARTÍSTICAS</w:t>
    </w:r>
  </w:p>
  <w:p w14:paraId="76ECCC5F" w14:textId="563E4DBA" w:rsidR="00ED0AC6" w:rsidRPr="00A76628" w:rsidRDefault="00ED0AC6" w:rsidP="00DB21ED">
    <w:pPr>
      <w:pStyle w:val="Rodap"/>
      <w:jc w:val="center"/>
      <w:rPr>
        <w:rFonts w:asciiTheme="majorHAnsi" w:hAnsiTheme="majorHAnsi"/>
        <w:b/>
        <w:sz w:val="16"/>
        <w:szCs w:val="16"/>
      </w:rPr>
    </w:pPr>
    <w:r w:rsidRPr="00A76628">
      <w:rPr>
        <w:rFonts w:asciiTheme="majorHAnsi" w:hAnsiTheme="majorHAnsi"/>
        <w:b/>
        <w:sz w:val="16"/>
        <w:szCs w:val="16"/>
      </w:rPr>
      <w:t>CNPJ 10 533 766 0001 95</w:t>
    </w:r>
  </w:p>
  <w:p w14:paraId="66E765EE" w14:textId="09820FDB" w:rsidR="00ED0AC6" w:rsidRPr="00A76628" w:rsidRDefault="00ED0AC6" w:rsidP="00DB21ED">
    <w:pPr>
      <w:pStyle w:val="Rodap"/>
      <w:jc w:val="center"/>
      <w:rPr>
        <w:rFonts w:asciiTheme="majorHAnsi" w:hAnsiTheme="majorHAnsi"/>
        <w:b/>
        <w:sz w:val="16"/>
        <w:szCs w:val="16"/>
      </w:rPr>
    </w:pPr>
    <w:r w:rsidRPr="00A76628">
      <w:rPr>
        <w:rFonts w:asciiTheme="majorHAnsi" w:hAnsiTheme="majorHAnsi"/>
        <w:b/>
        <w:sz w:val="16"/>
        <w:szCs w:val="16"/>
      </w:rPr>
      <w:t>11 2854 4300 | 11 98 201 5858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C198" w14:textId="77777777" w:rsidR="0033482B" w:rsidRDefault="0033482B" w:rsidP="00ED0AC6">
      <w:r>
        <w:separator/>
      </w:r>
    </w:p>
  </w:footnote>
  <w:footnote w:type="continuationSeparator" w:id="0">
    <w:p w14:paraId="6AE1AC62" w14:textId="77777777" w:rsidR="0033482B" w:rsidRDefault="0033482B" w:rsidP="00ED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82"/>
    <w:rsid w:val="000312BD"/>
    <w:rsid w:val="00050040"/>
    <w:rsid w:val="00092562"/>
    <w:rsid w:val="000B6DE2"/>
    <w:rsid w:val="0018394C"/>
    <w:rsid w:val="001F2DD1"/>
    <w:rsid w:val="00213101"/>
    <w:rsid w:val="002C493D"/>
    <w:rsid w:val="002F5516"/>
    <w:rsid w:val="003048E7"/>
    <w:rsid w:val="0033482B"/>
    <w:rsid w:val="00342684"/>
    <w:rsid w:val="003832F8"/>
    <w:rsid w:val="00397A1F"/>
    <w:rsid w:val="003D3AFA"/>
    <w:rsid w:val="004A6F0A"/>
    <w:rsid w:val="004D0E1C"/>
    <w:rsid w:val="005439D8"/>
    <w:rsid w:val="005944FB"/>
    <w:rsid w:val="005C1EEF"/>
    <w:rsid w:val="00644E4D"/>
    <w:rsid w:val="006854FB"/>
    <w:rsid w:val="007337CB"/>
    <w:rsid w:val="0074444C"/>
    <w:rsid w:val="007B6A5D"/>
    <w:rsid w:val="007E2071"/>
    <w:rsid w:val="007E474C"/>
    <w:rsid w:val="008867A7"/>
    <w:rsid w:val="008A52F1"/>
    <w:rsid w:val="008A7FFB"/>
    <w:rsid w:val="008D2F06"/>
    <w:rsid w:val="009026F5"/>
    <w:rsid w:val="00994361"/>
    <w:rsid w:val="009B2A05"/>
    <w:rsid w:val="00A76628"/>
    <w:rsid w:val="00BE466D"/>
    <w:rsid w:val="00C4353F"/>
    <w:rsid w:val="00C65E72"/>
    <w:rsid w:val="00CE7543"/>
    <w:rsid w:val="00D21DDA"/>
    <w:rsid w:val="00D50C18"/>
    <w:rsid w:val="00D6285C"/>
    <w:rsid w:val="00DB21ED"/>
    <w:rsid w:val="00DE10D0"/>
    <w:rsid w:val="00E12873"/>
    <w:rsid w:val="00E20C24"/>
    <w:rsid w:val="00E603DB"/>
    <w:rsid w:val="00E96C1B"/>
    <w:rsid w:val="00ED0AC6"/>
    <w:rsid w:val="00ED65EC"/>
    <w:rsid w:val="00EE7663"/>
    <w:rsid w:val="00F44A98"/>
    <w:rsid w:val="00FC025D"/>
    <w:rsid w:val="00FC6284"/>
    <w:rsid w:val="00FD6482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F1F06"/>
  <w14:defaultImageDpi w14:val="300"/>
  <w15:docId w15:val="{989AF9C8-22B2-439C-ACB4-7A418C2E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482"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FD64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482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82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D0E1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21DDA"/>
    <w:rPr>
      <w:rFonts w:eastAsiaTheme="minorHAnsi"/>
      <w:sz w:val="22"/>
      <w:szCs w:val="22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D0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AC6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D0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AC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4444C"/>
    <w:pPr>
      <w:autoSpaceDE w:val="0"/>
      <w:autoSpaceDN w:val="0"/>
      <w:adjustRightInd w:val="0"/>
    </w:pPr>
    <w:rPr>
      <w:rFonts w:ascii="Garamond" w:hAnsi="Garamond" w:cs="Garamond"/>
      <w:color w:val="00000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65E59A-4E68-425F-9C96-6771B84D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Lilian</cp:lastModifiedBy>
  <cp:revision>26</cp:revision>
  <cp:lastPrinted>2013-02-27T23:11:00Z</cp:lastPrinted>
  <dcterms:created xsi:type="dcterms:W3CDTF">2016-11-11T14:00:00Z</dcterms:created>
  <dcterms:modified xsi:type="dcterms:W3CDTF">2017-07-18T15:17:00Z</dcterms:modified>
</cp:coreProperties>
</file>